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61" w:rsidRDefault="003A3661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Оформление случаев заболевания (Алтайский край)</w:t>
      </w:r>
    </w:p>
    <w:p w:rsidR="003A3661" w:rsidRDefault="003A3661">
      <w:pPr>
        <w:numPr>
          <w:ilvl w:val="0"/>
          <w:numId w:val="1"/>
        </w:numPr>
        <w:spacing w:before="100" w:beforeAutospacing="1" w:after="100" w:afterAutospacing="1"/>
        <w:divId w:val="1651052622"/>
        <w:rPr>
          <w:rFonts w:eastAsia="Times New Roman"/>
        </w:rPr>
      </w:pPr>
      <w:hyperlink w:anchor="id-Оформлениеслучаевзаболевания(Алтайск" w:history="1">
        <w:r>
          <w:rPr>
            <w:rStyle w:val="a4"/>
            <w:rFonts w:eastAsia="Times New Roman"/>
          </w:rPr>
          <w:t>Амбулаторно-поликлиническая помощь</w:t>
        </w:r>
      </w:hyperlink>
      <w:r>
        <w:rPr>
          <w:rFonts w:eastAsia="Times New Roman"/>
        </w:rPr>
        <w:t xml:space="preserve"> </w:t>
      </w:r>
    </w:p>
    <w:p w:rsidR="003A3661" w:rsidRDefault="003A3661">
      <w:pPr>
        <w:numPr>
          <w:ilvl w:val="1"/>
          <w:numId w:val="1"/>
        </w:numPr>
        <w:spacing w:before="100" w:beforeAutospacing="1" w:after="100" w:afterAutospacing="1"/>
        <w:divId w:val="1651052622"/>
        <w:rPr>
          <w:rFonts w:eastAsia="Times New Roman"/>
        </w:rPr>
      </w:pPr>
      <w:hyperlink w:anchor="id-Оформлениеслучаевзаболевания(Алтайск" w:history="1">
        <w:r>
          <w:rPr>
            <w:rStyle w:val="a4"/>
            <w:rFonts w:eastAsia="Times New Roman"/>
          </w:rPr>
          <w:t>Инструкция по формированию случаев:</w:t>
        </w:r>
      </w:hyperlink>
      <w:r>
        <w:rPr>
          <w:rFonts w:eastAsia="Times New Roman"/>
        </w:rPr>
        <w:t xml:space="preserve"> </w:t>
      </w:r>
    </w:p>
    <w:p w:rsidR="003A3661" w:rsidRDefault="003A3661">
      <w:pPr>
        <w:numPr>
          <w:ilvl w:val="2"/>
          <w:numId w:val="1"/>
        </w:numPr>
        <w:spacing w:before="100" w:beforeAutospacing="1" w:after="100" w:afterAutospacing="1"/>
        <w:divId w:val="1651052622"/>
        <w:rPr>
          <w:rFonts w:eastAsia="Times New Roman"/>
        </w:rPr>
      </w:pPr>
      <w:hyperlink w:anchor="id-Оформлениеслучаевзаболевания(Алтайск" w:history="1">
        <w:r>
          <w:rPr>
            <w:rStyle w:val="a4"/>
            <w:rFonts w:eastAsia="Times New Roman"/>
          </w:rPr>
          <w:t>"Обращение по заболеванию"</w:t>
        </w:r>
      </w:hyperlink>
    </w:p>
    <w:p w:rsidR="003A3661" w:rsidRDefault="003A3661">
      <w:pPr>
        <w:numPr>
          <w:ilvl w:val="2"/>
          <w:numId w:val="1"/>
        </w:numPr>
        <w:spacing w:before="100" w:beforeAutospacing="1" w:after="100" w:afterAutospacing="1"/>
        <w:divId w:val="1651052622"/>
        <w:rPr>
          <w:rFonts w:eastAsia="Times New Roman"/>
        </w:rPr>
      </w:pPr>
      <w:hyperlink w:anchor="id-Оформлениеслучаевзаболевания(Алтайск" w:history="1">
        <w:r>
          <w:rPr>
            <w:rStyle w:val="a4"/>
            <w:rFonts w:eastAsia="Times New Roman"/>
          </w:rPr>
          <w:t>"Разовое посещение по заболеванию"</w:t>
        </w:r>
      </w:hyperlink>
    </w:p>
    <w:p w:rsidR="003A3661" w:rsidRDefault="003A3661">
      <w:pPr>
        <w:numPr>
          <w:ilvl w:val="2"/>
          <w:numId w:val="1"/>
        </w:numPr>
        <w:spacing w:before="100" w:beforeAutospacing="1" w:after="100" w:afterAutospacing="1"/>
        <w:divId w:val="1651052622"/>
        <w:rPr>
          <w:rFonts w:eastAsia="Times New Roman"/>
        </w:rPr>
      </w:pPr>
      <w:hyperlink w:anchor="id-Оформлениеслучаевзаболевания(Алтайск" w:history="1">
        <w:r>
          <w:rPr>
            <w:rStyle w:val="a4"/>
            <w:rFonts w:eastAsia="Times New Roman"/>
          </w:rPr>
          <w:t>"Посещение при оказании неотложной помощи"</w:t>
        </w:r>
      </w:hyperlink>
    </w:p>
    <w:p w:rsidR="003A3661" w:rsidRDefault="003A3661">
      <w:pPr>
        <w:numPr>
          <w:ilvl w:val="2"/>
          <w:numId w:val="1"/>
        </w:numPr>
        <w:spacing w:before="100" w:beforeAutospacing="1" w:after="100" w:afterAutospacing="1"/>
        <w:divId w:val="1651052622"/>
        <w:rPr>
          <w:rFonts w:eastAsia="Times New Roman"/>
        </w:rPr>
      </w:pPr>
      <w:hyperlink w:anchor="id-Оформлениеслучаевзаболевания(Алтайск" w:history="1">
        <w:r>
          <w:rPr>
            <w:rStyle w:val="a4"/>
            <w:rFonts w:eastAsia="Times New Roman"/>
          </w:rPr>
          <w:t>"Медицинская реабилитация"</w:t>
        </w:r>
      </w:hyperlink>
    </w:p>
    <w:p w:rsidR="003A3661" w:rsidRDefault="003A3661">
      <w:pPr>
        <w:pStyle w:val="a3"/>
      </w:pPr>
    </w:p>
    <w:p w:rsidR="003A3661" w:rsidRDefault="003A3661">
      <w:pPr>
        <w:pStyle w:val="2"/>
        <w:rPr>
          <w:rFonts w:eastAsia="Times New Roman"/>
        </w:rPr>
      </w:pPr>
      <w:r>
        <w:rPr>
          <w:rFonts w:eastAsia="Times New Roman"/>
        </w:rPr>
        <w:t>Амбулаторно-поликлиническая помощь</w:t>
      </w:r>
    </w:p>
    <w:p w:rsidR="003A3661" w:rsidRDefault="003A3661">
      <w:pPr>
        <w:pStyle w:val="a3"/>
      </w:pPr>
      <w:r>
        <w:t>Сумма оплаты поликлинического случая зависит от специальности/профиля врача и способа оплаты. В стандартном поликлиническом случае  способу оплаты соответствует один из тарифов:</w:t>
      </w:r>
    </w:p>
    <w:p w:rsidR="003A3661" w:rsidRDefault="003A366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Style w:val="a6"/>
          <w:rFonts w:eastAsia="Times New Roman"/>
        </w:rPr>
        <w:t>Посещение с иными целями</w:t>
      </w:r>
    </w:p>
    <w:p w:rsidR="003A3661" w:rsidRDefault="003A366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i/>
          <w:iCs/>
        </w:rPr>
      </w:pPr>
      <w:r>
        <w:rPr>
          <w:rStyle w:val="a6"/>
          <w:rFonts w:eastAsia="Times New Roman"/>
        </w:rPr>
        <w:t>Посещение в неотложной форме </w:t>
      </w:r>
    </w:p>
    <w:p w:rsidR="003A3661" w:rsidRDefault="003A366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Style w:val="a6"/>
          <w:rFonts w:eastAsia="Times New Roman"/>
        </w:rPr>
        <w:t>Обращение по поводу заболевания</w:t>
      </w:r>
    </w:p>
    <w:p w:rsidR="003A3661" w:rsidRDefault="003A3661">
      <w:pPr>
        <w:pStyle w:val="a3"/>
      </w:pPr>
      <w:r>
        <w:t>Например, для терапевта, стоимость случая будет отличаться в зависимости от выбранного способа оплаты. По заболеванию одна стоимость, с целью профилактики другая, для неотложной помощи третья.</w:t>
      </w:r>
    </w:p>
    <w:p w:rsidR="003A3661" w:rsidRDefault="003A3661">
      <w:pPr>
        <w:pStyle w:val="a3"/>
      </w:pPr>
      <w:r>
        <w:t>Для учёта посещений врачей специалистов </w:t>
      </w:r>
      <w:r>
        <w:rPr>
          <w:u w:val="single"/>
        </w:rPr>
        <w:t>обязательно</w:t>
      </w:r>
      <w:r>
        <w:t> заполнение услуги посещения вида B**.***.***.</w:t>
      </w:r>
    </w:p>
    <w:p w:rsidR="003A3661" w:rsidRDefault="003A3661">
      <w:pPr>
        <w:pStyle w:val="3"/>
        <w:rPr>
          <w:rFonts w:eastAsia="Times New Roman"/>
        </w:rPr>
      </w:pPr>
      <w:r>
        <w:rPr>
          <w:rFonts w:eastAsia="Times New Roman"/>
          <w:color w:val="404040"/>
        </w:rPr>
        <w:t>Инструкция по формированию случаев:</w:t>
      </w:r>
    </w:p>
    <w:p w:rsidR="003A3661" w:rsidRDefault="003A3661">
      <w:pPr>
        <w:pStyle w:val="4"/>
        <w:rPr>
          <w:rFonts w:eastAsia="Times New Roman"/>
        </w:rPr>
      </w:pPr>
      <w:r>
        <w:rPr>
          <w:rStyle w:val="a7"/>
          <w:rFonts w:eastAsia="Times New Roman"/>
          <w:b/>
          <w:bCs/>
          <w:color w:val="404040"/>
          <w:u w:val="single"/>
        </w:rPr>
        <w:t>"Обращение по заболеванию"</w:t>
      </w:r>
    </w:p>
    <w:p w:rsidR="003A3661" w:rsidRDefault="003A3661">
      <w:pPr>
        <w:pStyle w:val="a3"/>
      </w:pPr>
      <w:r>
        <w:t xml:space="preserve">Законченный случай лечения в поликлинике - обращение по поводу заболевания (кратность посещений по поводу одного заболевания </w:t>
      </w:r>
      <w:r>
        <w:rPr>
          <w:rStyle w:val="a7"/>
        </w:rPr>
        <w:t>не менее 2</w:t>
      </w:r>
      <w:r>
        <w:t>), когда цель обращения достигнута. Обращение, как законченный случай по поводу заболевания, складывается из первичных и повторных посещений.</w:t>
      </w:r>
    </w:p>
    <w:p w:rsidR="003A3661" w:rsidRDefault="003A3661">
      <w:pPr>
        <w:pStyle w:val="a3"/>
      </w:pPr>
      <w:r>
        <w:t>Под законченным случаем в амбулаторных условиях понимается объем лечебно-диагностических  мероприятий, в результате которых наступает выздоровление, улучшение, направление пациента в дневной стационар, на госпитализацию в круглосуточный стационар. Результат обращения отмечается в соответствующем поле на форме случая только при последнем посещении больного по данному поводу</w:t>
      </w:r>
    </w:p>
    <w:p w:rsidR="003A3661" w:rsidRDefault="003A366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 первичном обращении пациента по заболеванию, необходимо создать новый случай в АРМ Врача поликлиники</w:t>
      </w:r>
    </w:p>
    <w:p w:rsidR="003A3661" w:rsidRDefault="003A3661">
      <w:pPr>
        <w:pStyle w:val="a3"/>
      </w:pPr>
      <w:r>
        <w:lastRenderedPageBreak/>
        <w:t xml:space="preserve">  </w:t>
      </w:r>
      <w:r w:rsidRPr="00FE5F3A">
        <w:rPr>
          <w:noProof/>
        </w:rPr>
        <w:drawing>
          <wp:inline distT="0" distB="0" distL="0" distR="0">
            <wp:extent cx="4429125" cy="18764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61" w:rsidRDefault="003A3661">
      <w:pPr>
        <w:pStyle w:val="a3"/>
      </w:pPr>
      <w:r>
        <w:t>2. Заполните необходимые поля в форме случая, включая дату начала случая и предварительный диагноз.</w:t>
      </w:r>
    </w:p>
    <w:p w:rsidR="003A3661" w:rsidRDefault="003A3661">
      <w:pPr>
        <w:pStyle w:val="a3"/>
      </w:pPr>
      <w:r>
        <w:t>   2.1 Блок " Направления" заполняется в случае, если пациент обращается по направлению </w:t>
      </w:r>
    </w:p>
    <w:p w:rsidR="003A3661" w:rsidRDefault="003A3661">
      <w:pPr>
        <w:pStyle w:val="a3"/>
      </w:pPr>
      <w:r w:rsidRPr="00FE5F3A">
        <w:rPr>
          <w:noProof/>
        </w:rPr>
        <w:drawing>
          <wp:inline distT="0" distB="0" distL="0" distR="0">
            <wp:extent cx="4438650" cy="304800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61" w:rsidRDefault="003A3661">
      <w:pPr>
        <w:pStyle w:val="a3"/>
      </w:pPr>
      <w:r>
        <w:t xml:space="preserve">3. </w:t>
      </w:r>
      <w:r>
        <w:rPr>
          <w:color w:val="172B4D"/>
        </w:rPr>
        <w:t>Услуги, оказанные пациенту по время поликлинического приема, указываются в нижней части формы случая</w:t>
      </w:r>
    </w:p>
    <w:p w:rsidR="003A3661" w:rsidRDefault="003A3661">
      <w:pPr>
        <w:pStyle w:val="a3"/>
      </w:pPr>
      <w:r w:rsidRPr="003A3661">
        <w:rPr>
          <w:noProof/>
          <w:color w:val="172B4D"/>
        </w:rPr>
        <w:drawing>
          <wp:inline distT="0" distB="0" distL="0" distR="0">
            <wp:extent cx="4371975" cy="266700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61" w:rsidRDefault="003A3661">
      <w:pPr>
        <w:pStyle w:val="a3"/>
      </w:pPr>
      <w:r>
        <w:rPr>
          <w:color w:val="172B4D"/>
        </w:rPr>
        <w:t>Добавить услугу можно следующими способами:</w:t>
      </w:r>
    </w:p>
    <w:p w:rsidR="003A3661" w:rsidRDefault="003A3661">
      <w:pPr>
        <w:pStyle w:val="a3"/>
      </w:pPr>
      <w:r>
        <w:t>   </w:t>
      </w:r>
      <w:r>
        <w:rPr>
          <w:rStyle w:val="a6"/>
        </w:rPr>
        <w:t>Способ 1: </w:t>
      </w:r>
      <w:r>
        <w:t xml:space="preserve"> установить курсор в таблицу услуг, нажать клавишу курсора вниз, при этом автоматически заполнятся необходимые поля (поля редактируемые)</w:t>
      </w:r>
    </w:p>
    <w:p w:rsidR="003A3661" w:rsidRDefault="003A3661">
      <w:pPr>
        <w:pStyle w:val="a3"/>
      </w:pPr>
      <w:r>
        <w:t>          Далее, ручным методом заполняется код выполненной услуги с помощью кнопки c тремя точками</w:t>
      </w:r>
    </w:p>
    <w:p w:rsidR="003A3661" w:rsidRDefault="003A3661">
      <w:pPr>
        <w:pStyle w:val="a3"/>
      </w:pPr>
      <w:r w:rsidRPr="00FE5F3A">
        <w:rPr>
          <w:noProof/>
        </w:rPr>
        <w:drawing>
          <wp:inline distT="0" distB="0" distL="0" distR="0">
            <wp:extent cx="4429125" cy="40005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      </w:t>
      </w:r>
    </w:p>
    <w:p w:rsidR="003A3661" w:rsidRDefault="003A3661">
      <w:pPr>
        <w:pStyle w:val="a3"/>
      </w:pPr>
      <w:r>
        <w:t>На появившейся форме необходимо выбрать нужную услугу соответствующую специальности врача выполнившего услугу</w:t>
      </w:r>
    </w:p>
    <w:p w:rsidR="003A3661" w:rsidRDefault="003A3661">
      <w:pPr>
        <w:pStyle w:val="a3"/>
      </w:pPr>
      <w:r>
        <w:t>Для добавления последующих услуг нужно нажать на клавиатуре кнопку нижней стрелки </w:t>
      </w:r>
    </w:p>
    <w:p w:rsidR="003A3661" w:rsidRDefault="003A3661">
      <w:pPr>
        <w:pStyle w:val="a3"/>
      </w:pPr>
      <w:r>
        <w:t> </w:t>
      </w:r>
      <w:r>
        <w:rPr>
          <w:rStyle w:val="a6"/>
        </w:rPr>
        <w:t>Способ 2:</w:t>
      </w:r>
      <w:r>
        <w:t xml:space="preserve"> С помощью кнопки "Блоки услуг" можно добавить настроенные услуги для специалистов</w:t>
      </w:r>
    </w:p>
    <w:p w:rsidR="003A3661" w:rsidRDefault="003A3661">
      <w:pPr>
        <w:pStyle w:val="a3"/>
      </w:pPr>
      <w:r w:rsidRPr="00FE5F3A">
        <w:rPr>
          <w:noProof/>
        </w:rPr>
        <w:lastRenderedPageBreak/>
        <w:drawing>
          <wp:inline distT="0" distB="0" distL="0" distR="0">
            <wp:extent cx="4419600" cy="132397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61" w:rsidRDefault="003A3661">
      <w:pPr>
        <w:pStyle w:val="a3"/>
      </w:pPr>
      <w:r>
        <w:t>4. После добавления необходимых назначений, направлений и ЭМК, случай заболевания сохраняется и закрывается. </w:t>
      </w:r>
    </w:p>
    <w:p w:rsidR="003A3661" w:rsidRDefault="003A3661">
      <w:pPr>
        <w:pStyle w:val="a3"/>
      </w:pPr>
      <w:r>
        <w:t>   Случай при этом остается открытым.</w:t>
      </w:r>
    </w:p>
    <w:p w:rsidR="003A3661" w:rsidRDefault="003A3661">
      <w:pPr>
        <w:pStyle w:val="a3"/>
      </w:pPr>
      <w:r>
        <w:t>5. При повторном обращении пациента, необходимо открыть нужный случай в общем списке на главной форме модуля Врача поликлиники, нажав кнопку "Открыть случай F5"</w:t>
      </w:r>
    </w:p>
    <w:p w:rsidR="003A3661" w:rsidRDefault="003A3661">
      <w:pPr>
        <w:pStyle w:val="a3"/>
      </w:pPr>
      <w:r w:rsidRPr="00FE5F3A">
        <w:rPr>
          <w:noProof/>
        </w:rPr>
        <w:drawing>
          <wp:inline distT="0" distB="0" distL="0" distR="0">
            <wp:extent cx="4438650" cy="4486275"/>
            <wp:effectExtent l="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61" w:rsidRDefault="003A3661">
      <w:pPr>
        <w:pStyle w:val="a3"/>
      </w:pPr>
      <w:r>
        <w:t>6. Завершение случая лечения:</w:t>
      </w:r>
    </w:p>
    <w:p w:rsidR="003A3661" w:rsidRDefault="003A3661">
      <w:pPr>
        <w:pStyle w:val="a3"/>
      </w:pPr>
      <w:r>
        <w:t>Заполните обязательные поля: "Дата окончания лечения", "Диагноз заключительный" (при необходимости указать диагноз сопутствующий и осложнения),характер заболевания, исход и результат лечения.</w:t>
      </w:r>
    </w:p>
    <w:p w:rsidR="003A3661" w:rsidRDefault="003A3661">
      <w:pPr>
        <w:pStyle w:val="a3"/>
      </w:pPr>
      <w:r>
        <w:lastRenderedPageBreak/>
        <w:t>Для законченного случая лечения по заболеванию укажите  обязательные значения для следующих полей:</w:t>
      </w:r>
    </w:p>
    <w:p w:rsidR="003A3661" w:rsidRDefault="003A3661">
      <w:pPr>
        <w:pStyle w:val="a3"/>
      </w:pPr>
      <w:r>
        <w:t xml:space="preserve">Показания - </w:t>
      </w:r>
      <w:r>
        <w:rPr>
          <w:rStyle w:val="a6"/>
        </w:rPr>
        <w:t>"Плановый"</w:t>
      </w:r>
    </w:p>
    <w:p w:rsidR="003A3661" w:rsidRDefault="003A3661">
      <w:pPr>
        <w:pStyle w:val="a3"/>
      </w:pPr>
      <w:r>
        <w:t xml:space="preserve">Способ оплаты - </w:t>
      </w:r>
      <w:r>
        <w:rPr>
          <w:rStyle w:val="a6"/>
        </w:rPr>
        <w:t>"За обращение (законченный случай) в поликлинике"</w:t>
      </w:r>
    </w:p>
    <w:p w:rsidR="003A3661" w:rsidRDefault="003A3661">
      <w:pPr>
        <w:pStyle w:val="a3"/>
      </w:pPr>
      <w:r>
        <w:t xml:space="preserve">Цель посещения - </w:t>
      </w:r>
      <w:r>
        <w:rPr>
          <w:rStyle w:val="a6"/>
        </w:rPr>
        <w:t>"Обращение по заболеванию"</w:t>
      </w:r>
    </w:p>
    <w:p w:rsidR="003A3661" w:rsidRDefault="003A3661">
      <w:pPr>
        <w:pStyle w:val="a3"/>
      </w:pPr>
      <w:r>
        <w:t>7. Нажмите кнопку сохранить. Случай лечения будет сохранен и закончен</w:t>
      </w:r>
    </w:p>
    <w:p w:rsidR="003A3661" w:rsidRDefault="003A3661">
      <w:pPr>
        <w:pStyle w:val="a3"/>
      </w:pPr>
      <w:r w:rsidRPr="00FE5F3A">
        <w:rPr>
          <w:noProof/>
        </w:rPr>
        <w:drawing>
          <wp:inline distT="0" distB="0" distL="0" distR="0">
            <wp:extent cx="4429125" cy="2514600"/>
            <wp:effectExtent l="0" t="0" r="0" b="0"/>
            <wp:docPr id="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61" w:rsidRDefault="003A3661">
      <w:pPr>
        <w:pStyle w:val="4"/>
        <w:rPr>
          <w:rFonts w:eastAsia="Times New Roman"/>
        </w:rPr>
      </w:pPr>
      <w:r>
        <w:rPr>
          <w:rStyle w:val="a7"/>
          <w:rFonts w:eastAsia="Times New Roman"/>
          <w:b/>
          <w:bCs/>
          <w:color w:val="404040"/>
          <w:u w:val="single"/>
        </w:rPr>
        <w:t>"Разовое посещение по заболеванию"</w:t>
      </w:r>
    </w:p>
    <w:p w:rsidR="003A3661" w:rsidRDefault="003A3661">
      <w:pPr>
        <w:pStyle w:val="a3"/>
      </w:pPr>
      <w:r>
        <w:rPr>
          <w:color w:val="404040"/>
        </w:rPr>
        <w:t xml:space="preserve">Разовое посещение по заболеванию — это однократный визит пациента к врачу по поводу конкретного заболевания или состояния, которое не требует повторного обращения для достижения цели лечения. </w:t>
      </w:r>
    </w:p>
    <w:p w:rsidR="003A3661" w:rsidRDefault="003A3661">
      <w:pPr>
        <w:pStyle w:val="a3"/>
      </w:pPr>
      <w:r>
        <w:rPr>
          <w:color w:val="172B4D"/>
        </w:rPr>
        <w:t>Применяется в текущем месяце (периоде) только однократно, в рамках одного дня, при первом посещении пациента к врачу. </w:t>
      </w:r>
    </w:p>
    <w:p w:rsidR="003A3661" w:rsidRDefault="003A3661">
      <w:pPr>
        <w:pStyle w:val="a3"/>
      </w:pPr>
      <w:r>
        <w:rPr>
          <w:rStyle w:val="a7"/>
          <w:i/>
          <w:iCs/>
          <w:color w:val="172B4D"/>
        </w:rPr>
        <w:t>Определяющие параметры:</w:t>
      </w:r>
    </w:p>
    <w:p w:rsidR="003A3661" w:rsidRDefault="003A3661">
      <w:pPr>
        <w:pStyle w:val="a3"/>
      </w:pPr>
      <w:r>
        <w:rPr>
          <w:color w:val="172B4D"/>
        </w:rPr>
        <w:t>Дата окончания случая = Дате начала случая</w:t>
      </w:r>
    </w:p>
    <w:p w:rsidR="003A3661" w:rsidRDefault="003A3661">
      <w:pPr>
        <w:pStyle w:val="a3"/>
      </w:pPr>
      <w:r>
        <w:rPr>
          <w:color w:val="172B4D"/>
        </w:rPr>
        <w:t>Показания - "Плановый"</w:t>
      </w:r>
    </w:p>
    <w:p w:rsidR="003A3661" w:rsidRDefault="003A3661">
      <w:pPr>
        <w:pStyle w:val="a3"/>
      </w:pPr>
      <w:r>
        <w:rPr>
          <w:color w:val="172B4D"/>
        </w:rPr>
        <w:t>Способ оплаты - "За посещение"</w:t>
      </w:r>
    </w:p>
    <w:p w:rsidR="003A3661" w:rsidRDefault="003A3661">
      <w:pPr>
        <w:pStyle w:val="a3"/>
      </w:pPr>
      <w:r>
        <w:rPr>
          <w:color w:val="172B4D"/>
        </w:rPr>
        <w:t>Цель посещения - "Посещение по заболеванию"</w:t>
      </w:r>
    </w:p>
    <w:p w:rsidR="003A3661" w:rsidRDefault="003A3661">
      <w:pPr>
        <w:pStyle w:val="a3"/>
      </w:pPr>
      <w:r w:rsidRPr="003A3661">
        <w:rPr>
          <w:noProof/>
          <w:color w:val="172B4D"/>
        </w:rPr>
        <w:lastRenderedPageBreak/>
        <w:drawing>
          <wp:inline distT="0" distB="0" distL="0" distR="0">
            <wp:extent cx="4410075" cy="2676525"/>
            <wp:effectExtent l="0" t="0" r="0" b="0"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72B4D"/>
        </w:rPr>
        <w:t> </w:t>
      </w:r>
    </w:p>
    <w:p w:rsidR="003A3661" w:rsidRDefault="003A3661">
      <w:pPr>
        <w:pStyle w:val="4"/>
        <w:rPr>
          <w:rFonts w:eastAsia="Times New Roman"/>
        </w:rPr>
      </w:pPr>
      <w:r>
        <w:rPr>
          <w:rStyle w:val="a7"/>
          <w:rFonts w:eastAsia="Times New Roman"/>
          <w:b/>
          <w:bCs/>
          <w:u w:val="single"/>
        </w:rPr>
        <w:t>"Посещение при оказании неотложной помощи"</w:t>
      </w:r>
    </w:p>
    <w:p w:rsidR="003A3661" w:rsidRDefault="003A3661">
      <w:pPr>
        <w:pStyle w:val="a3"/>
      </w:pPr>
      <w:r>
        <w:t>К посещениям в связи с оказанием медицинской помощи в неотложной форме относятся виды посещений при внезапных острых заболеваниях, состояниях, обострении хронических заболеваний, без явных признаков угрозы жизни пациента. При этом медицинская помощь может оказываться в амбулаторных условиях (в т.ч. в ФАП), на дому при вызове медицинского работника или в приемных отделениях медицинских организаций.</w:t>
      </w:r>
    </w:p>
    <w:p w:rsidR="003A3661" w:rsidRDefault="003A3661">
      <w:pPr>
        <w:pStyle w:val="a3"/>
      </w:pPr>
      <w:r>
        <w:rPr>
          <w:color w:val="172B4D"/>
        </w:rPr>
        <w:t>При цели посещения "Посещение в неотложной форме" допускается не более одной услуги посещения одного специалиста</w:t>
      </w:r>
    </w:p>
    <w:p w:rsidR="003A3661" w:rsidRDefault="003A3661">
      <w:pPr>
        <w:pStyle w:val="a3"/>
      </w:pPr>
      <w:r>
        <w:rPr>
          <w:rStyle w:val="a7"/>
          <w:color w:val="FF0000"/>
        </w:rPr>
        <w:t>Внимание!</w:t>
      </w:r>
      <w:r>
        <w:t> Если посещение по заболеванию в одной медицинской организации не является первым, то оно должно оформляться в рамках обращения по поводу заболевания</w:t>
      </w:r>
    </w:p>
    <w:p w:rsidR="003A3661" w:rsidRDefault="003A3661">
      <w:pPr>
        <w:pStyle w:val="a3"/>
      </w:pPr>
      <w:r>
        <w:rPr>
          <w:rStyle w:val="a7"/>
          <w:i/>
          <w:iCs/>
          <w:color w:val="003366"/>
        </w:rPr>
        <w:t>Определяющие параметры:</w:t>
      </w:r>
    </w:p>
    <w:p w:rsidR="003A3661" w:rsidRDefault="003A3661">
      <w:pPr>
        <w:pStyle w:val="a3"/>
      </w:pPr>
      <w:r>
        <w:rPr>
          <w:color w:val="172B4D"/>
        </w:rPr>
        <w:t>Дата окончания случая = Дате начала случая</w:t>
      </w:r>
    </w:p>
    <w:p w:rsidR="003A3661" w:rsidRDefault="003A3661">
      <w:pPr>
        <w:pStyle w:val="a3"/>
      </w:pPr>
      <w:r>
        <w:rPr>
          <w:color w:val="172B4D"/>
        </w:rPr>
        <w:t>Показания - "Неотложный"</w:t>
      </w:r>
    </w:p>
    <w:p w:rsidR="003A3661" w:rsidRDefault="003A3661">
      <w:pPr>
        <w:pStyle w:val="a3"/>
      </w:pPr>
      <w:r>
        <w:rPr>
          <w:color w:val="172B4D"/>
        </w:rPr>
        <w:t>Способ оплаты - "За посещение"</w:t>
      </w:r>
    </w:p>
    <w:p w:rsidR="003A3661" w:rsidRDefault="003A3661">
      <w:pPr>
        <w:pStyle w:val="a3"/>
      </w:pPr>
      <w:r>
        <w:rPr>
          <w:color w:val="172B4D"/>
        </w:rPr>
        <w:t>Цель посещения - "Посещение в неотложной форме"</w:t>
      </w:r>
    </w:p>
    <w:p w:rsidR="003A3661" w:rsidRDefault="003A3661">
      <w:pPr>
        <w:pStyle w:val="a3"/>
      </w:pPr>
      <w:r w:rsidRPr="003A3661">
        <w:rPr>
          <w:noProof/>
          <w:color w:val="172B4D"/>
        </w:rPr>
        <w:lastRenderedPageBreak/>
        <w:drawing>
          <wp:inline distT="0" distB="0" distL="0" distR="0">
            <wp:extent cx="4457700" cy="2600325"/>
            <wp:effectExtent l="0" t="0" r="0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61" w:rsidRDefault="003A3661">
      <w:pPr>
        <w:pStyle w:val="4"/>
        <w:rPr>
          <w:rFonts w:eastAsia="Times New Roman"/>
        </w:rPr>
      </w:pPr>
      <w:r>
        <w:rPr>
          <w:rStyle w:val="a7"/>
          <w:rFonts w:eastAsia="Times New Roman"/>
          <w:b/>
          <w:bCs/>
          <w:u w:val="single"/>
        </w:rPr>
        <w:t>"Медицинская реабилитация"</w:t>
      </w:r>
    </w:p>
    <w:p w:rsidR="003A3661" w:rsidRDefault="003A3661">
      <w:pPr>
        <w:pStyle w:val="a3"/>
      </w:pPr>
      <w:r>
        <w:rPr>
          <w:color w:val="172B4D"/>
        </w:rPr>
        <w:t xml:space="preserve">Случаи медицинской реабилитации оплачиваются по комплексному тарифу, в случай добавляется только </w:t>
      </w:r>
      <w:r>
        <w:rPr>
          <w:color w:val="172B4D"/>
          <w:u w:val="single"/>
        </w:rPr>
        <w:t>одна услуга</w:t>
      </w:r>
      <w:r>
        <w:rPr>
          <w:color w:val="172B4D"/>
        </w:rPr>
        <w:t xml:space="preserve"> входящая в перечень услуг приложения 7 Тарифного Соглашения (вкладка "Реабилитация").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7713"/>
      </w:tblGrid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В05.014.002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пациента, перенесшего инфекционное заболевание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В05.015.002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заболеваниями сердечно-сосудистой системы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B05.023.002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заболеваниями нервной системы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В05.023.002.001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заболеваниями центральной нервной системы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В05.023.002.003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заболеваниями центральной нервной системы с использованием телемедицинских технологий (на дому)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В05.023.002.002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заболеваниями периферической нервной системы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B05.027.001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пациента, перенесшего операцию по поводу онкологического заболевания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B05.028.001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заболеваниями органа слуха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B05.029.001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заболеваниями органа зрения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В05.037.001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заболеванием дыхательной системы</w:t>
            </w:r>
          </w:p>
        </w:tc>
      </w:tr>
      <w:tr w:rsidR="003A3661">
        <w:trPr>
          <w:divId w:val="1651052621"/>
          <w:cantSplit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В05.050.004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661" w:rsidRDefault="003A366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Услуги по медицинской реабилитации пациента с заболеванием опорно-двигательной системы</w:t>
            </w:r>
          </w:p>
        </w:tc>
      </w:tr>
    </w:tbl>
    <w:p w:rsidR="003A3661" w:rsidRDefault="003A3661">
      <w:pPr>
        <w:pStyle w:val="a3"/>
      </w:pPr>
      <w:r>
        <w:t>При этом необходимо учитывать кратность количества посещений, установленных приказами Минздрава АК об оказании медицинской реабилитации в амбулаторных условиях.</w:t>
      </w:r>
    </w:p>
    <w:p w:rsidR="003A3661" w:rsidRDefault="003A3661">
      <w:pPr>
        <w:pStyle w:val="a3"/>
      </w:pPr>
      <w:r>
        <w:t>Кратность посещений определяется по периоду случая.</w:t>
      </w:r>
    </w:p>
    <w:p w:rsidR="003A3661" w:rsidRDefault="003A3661">
      <w:pPr>
        <w:pStyle w:val="a3"/>
      </w:pPr>
      <w:r>
        <w:rPr>
          <w:rStyle w:val="a6"/>
          <w:b/>
          <w:bCs/>
          <w:color w:val="172B4D"/>
        </w:rPr>
        <w:t>Определяющие параметры:</w:t>
      </w:r>
    </w:p>
    <w:p w:rsidR="003A3661" w:rsidRDefault="003A3661">
      <w:pPr>
        <w:pStyle w:val="a3"/>
      </w:pPr>
      <w:r>
        <w:rPr>
          <w:color w:val="172B4D"/>
        </w:rPr>
        <w:t xml:space="preserve">Дата окончания случая </w:t>
      </w:r>
      <w:r>
        <w:rPr>
          <w:rStyle w:val="a7"/>
          <w:color w:val="FF0000"/>
        </w:rPr>
        <w:t>&gt;</w:t>
      </w:r>
      <w:r>
        <w:rPr>
          <w:color w:val="FF0000"/>
        </w:rPr>
        <w:t xml:space="preserve"> </w:t>
      </w:r>
      <w:r>
        <w:rPr>
          <w:color w:val="172B4D"/>
        </w:rPr>
        <w:t>Даты начала случая (Период случая строго больше одного дня)</w:t>
      </w:r>
    </w:p>
    <w:p w:rsidR="003A3661" w:rsidRDefault="003A3661">
      <w:pPr>
        <w:pStyle w:val="a3"/>
      </w:pPr>
      <w:r>
        <w:rPr>
          <w:color w:val="172B4D"/>
        </w:rPr>
        <w:t>Показания - "Плановый"</w:t>
      </w:r>
    </w:p>
    <w:p w:rsidR="003A3661" w:rsidRDefault="003A3661">
      <w:pPr>
        <w:pStyle w:val="a3"/>
      </w:pPr>
      <w:r>
        <w:rPr>
          <w:color w:val="172B4D"/>
        </w:rPr>
        <w:t>Способ оплаты - "</w:t>
      </w:r>
      <w:r>
        <w:rPr>
          <w:color w:val="FF0000"/>
        </w:rPr>
        <w:t>За медицинскую услугу</w:t>
      </w:r>
      <w:r>
        <w:rPr>
          <w:color w:val="172B4D"/>
        </w:rPr>
        <w:t>"</w:t>
      </w:r>
    </w:p>
    <w:p w:rsidR="003A3661" w:rsidRDefault="003A3661">
      <w:pPr>
        <w:pStyle w:val="a3"/>
      </w:pPr>
      <w:r>
        <w:rPr>
          <w:color w:val="172B4D"/>
        </w:rPr>
        <w:t>Цель посещения - "</w:t>
      </w:r>
      <w:r>
        <w:rPr>
          <w:color w:val="333333"/>
        </w:rPr>
        <w:t>Посещение по заболеванию</w:t>
      </w:r>
      <w:r>
        <w:rPr>
          <w:color w:val="172B4D"/>
        </w:rPr>
        <w:t>"</w:t>
      </w:r>
    </w:p>
    <w:p w:rsidR="003A3661" w:rsidRDefault="003A3661">
      <w:pPr>
        <w:pStyle w:val="a3"/>
      </w:pPr>
      <w:r>
        <w:rPr>
          <w:color w:val="172B4D"/>
        </w:rPr>
        <w:t xml:space="preserve">Количество услуг в случае - </w:t>
      </w:r>
      <w:r>
        <w:rPr>
          <w:color w:val="FF0000"/>
        </w:rPr>
        <w:t>1</w:t>
      </w:r>
    </w:p>
    <w:p w:rsidR="003A3661" w:rsidRDefault="003A3661">
      <w:pPr>
        <w:pStyle w:val="a3"/>
      </w:pPr>
      <w:r w:rsidRPr="00FE5F3A">
        <w:rPr>
          <w:noProof/>
        </w:rPr>
        <w:drawing>
          <wp:inline distT="0" distB="0" distL="0" distR="0">
            <wp:extent cx="4429125" cy="2362200"/>
            <wp:effectExtent l="0" t="0" r="0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661" w:rsidSect="00AD410B">
      <w:pgSz w:w="12240" w:h="15840"/>
      <w:pgMar w:top="567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6341D"/>
    <w:multiLevelType w:val="multilevel"/>
    <w:tmpl w:val="1A0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25FC0"/>
    <w:multiLevelType w:val="multilevel"/>
    <w:tmpl w:val="3274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14BA6"/>
    <w:multiLevelType w:val="multilevel"/>
    <w:tmpl w:val="E8B0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0B"/>
    <w:rsid w:val="001F66A8"/>
    <w:rsid w:val="003A3661"/>
    <w:rsid w:val="003D5D26"/>
    <w:rsid w:val="00592F05"/>
    <w:rsid w:val="006C2D12"/>
    <w:rsid w:val="00AD410B"/>
    <w:rsid w:val="00F73AB6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E7EED7-4DCC-4A72-8A96-6DBD030A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="Times New Roman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character" w:customStyle="1" w:styleId="confluence-embedded-file-wrapper">
    <w:name w:val="confluence-embedded-file-wrapper"/>
    <w:basedOn w:val="a0"/>
    <w:rPr>
      <w:rFonts w:cs="Times New Roman"/>
    </w:rPr>
  </w:style>
  <w:style w:type="character" w:styleId="a6">
    <w:name w:val="Emphasis"/>
    <w:basedOn w:val="a0"/>
    <w:uiPriority w:val="20"/>
    <w:qFormat/>
    <w:rPr>
      <w:rFonts w:cs="Times New Roman"/>
      <w:i/>
      <w:iCs/>
    </w:rPr>
  </w:style>
  <w:style w:type="character" w:styleId="a7">
    <w:name w:val="Strong"/>
    <w:basedOn w:val="a0"/>
    <w:uiPriority w:val="22"/>
    <w:qFormat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случаев заболевания (Алтайский край)</vt:lpstr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случаев заболевания (Алтайский край)</dc:title>
  <dc:subject/>
  <dc:creator>DikarevM</dc:creator>
  <cp:keywords/>
  <dc:description/>
  <cp:lastModifiedBy>Админ Пономарев</cp:lastModifiedBy>
  <cp:revision>2</cp:revision>
  <dcterms:created xsi:type="dcterms:W3CDTF">2024-11-25T07:08:00Z</dcterms:created>
  <dcterms:modified xsi:type="dcterms:W3CDTF">2024-11-25T07:08:00Z</dcterms:modified>
</cp:coreProperties>
</file>