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Настройка направления в другую МО</w:t>
      </w:r>
    </w:p>
    <w:p>
      <w:pPr>
        <w:pStyle w:val="NormalWeb"/>
        <w:widowControl/>
        <w:shd w:val="clear" w:color="auto" w:fill="FFFFFF"/>
        <w:bidi w:val="0"/>
        <w:spacing w:lineRule="auto" w:line="360" w:beforeAutospacing="0" w:before="0" w:afterAutospacing="0" w:after="0"/>
        <w:ind w:left="510" w:right="0" w:hanging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настройку лабораторных исследований в комплексе </w:t>
      </w:r>
    </w:p>
    <w:p>
      <w:pPr>
        <w:pStyle w:val="NormalWeb"/>
        <w:widowControl/>
        <w:shd w:val="clear" w:color="auto" w:fill="FFFFFF"/>
        <w:bidi w:val="0"/>
        <w:spacing w:lineRule="auto" w:line="360" w:beforeAutospacing="0" w:before="0" w:afterAutospacing="0" w:after="0"/>
        <w:ind w:left="510" w:right="0" w:hanging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ПК-</w:t>
      </w:r>
      <w:r>
        <w:rPr>
          <w:color w:val="000000" w:themeColor="text1"/>
          <w:sz w:val="28"/>
          <w:szCs w:val="28"/>
        </w:rPr>
        <w:t>Здравоохранение отвечает модуль АРМ Анализы.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Данный модуль доступен для выбора в окне выбора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модулей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/>
        <w:drawing>
          <wp:inline distT="0" distB="0" distL="0" distR="0">
            <wp:extent cx="4562475" cy="38042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Также модуль доступен в АРМ Администратора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/>
        <w:drawing>
          <wp:inline distT="0" distB="0" distL="0" distR="0">
            <wp:extent cx="2647950" cy="333438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 </w:t>
      </w:r>
      <w:r>
        <w:rPr>
          <w:rFonts w:cs="Times New Roman" w:ascii="Times New Roman" w:hAnsi="Times New Roman"/>
          <w:sz w:val="28"/>
          <w:szCs w:val="28"/>
        </w:rPr>
        <w:t>Возле исследования, которое необходимо направить в другую МО, нужно изменить тип «Анализ» из справочника на тип «Направление»</w:t>
      </w:r>
    </w:p>
    <w:p>
      <w:pPr>
        <w:pStyle w:val="Normal"/>
        <w:ind w:firstLine="426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933440" cy="3232150"/>
            <wp:effectExtent l="0" t="0" r="0" b="0"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98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Далее наж</w:t>
      </w:r>
      <w:r>
        <w:rPr>
          <w:rFonts w:cs="Times New Roman" w:ascii="Times New Roman" w:hAnsi="Times New Roman"/>
          <w:sz w:val="28"/>
          <w:szCs w:val="28"/>
        </w:rPr>
        <w:t>ать</w:t>
      </w:r>
      <w:r>
        <w:rPr>
          <w:rFonts w:cs="Times New Roman" w:ascii="Times New Roman" w:hAnsi="Times New Roman"/>
          <w:sz w:val="28"/>
          <w:szCs w:val="28"/>
        </w:rPr>
        <w:t xml:space="preserve"> 2 раза на поле «Доступн.» откроется форма «Доступность анализа\тестов».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Нажать на «…» у строки настройки "ЛПУ, в которое направляется"</w:t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6029325" cy="4247515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После чего откроется форма выбора Медицинской организации, в которую будет направляться анализ.</w:t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940425" cy="4152900"/>
            <wp:effectExtent l="0" t="0" r="0" b="0"/>
            <wp:docPr id="5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0" r="0" b="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 xml:space="preserve">После выбора Медицинской организации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нажать «Сохранить»</w:t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940425" cy="4184650"/>
            <wp:effectExtent l="0" t="0" r="0" b="0"/>
            <wp:docPr id="6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cs="Times New Roman" w:ascii="Times New Roman" w:hAnsi="Times New Roman"/>
          <w:sz w:val="28"/>
          <w:szCs w:val="28"/>
        </w:rPr>
        <w:t>В нижней правой части формы нажать сохранить</w:t>
      </w:r>
    </w:p>
    <w:p>
      <w:pPr>
        <w:pStyle w:val="Normal"/>
        <w:spacing w:before="0" w:after="160"/>
        <w:ind w:firstLine="284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940425" cy="4190365"/>
            <wp:effectExtent l="0" t="0" r="0" b="0"/>
            <wp:docPr id="7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149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8514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LibreOffice/7.2.0.4$Windows_X86_64 LibreOffice_project/9a9c6381e3f7a62afc1329bd359cc48accb6435b</Application>
  <AppVersion>15.0000</AppVersion>
  <Pages>4</Pages>
  <Words>100</Words>
  <Characters>622</Characters>
  <CharactersWithSpaces>713</CharactersWithSpaces>
  <Paragraphs>18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2024-04-17T09:24:00Z</dcterms:created>
  <dc:creator>user</dc:creator>
  <dc:description/>
  <dc:language>ru-RU</dc:language>
  <cp:lastModifiedBy/>
  <dcterms:modified xsi:type="dcterms:W3CDTF">2024-11-20T16:40:50Z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